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Eskilstuna kommunfullmäktige</w:t>
      </w:r>
    </w:p>
    <w:p>
      <w:pPr>
        <w:pStyle w:val="Heading1"/>
      </w:pPr>
      <w:r>
        <w:t xml:space="preserve">Utöka cykelvägar längs E20 och Mälarstråket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Eskilstuna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Cykelandelen i Eskilstuna är låg jämfört med rikssnittet. Befintliga cykelvägar saknas längs E20 och Mälarstråket, vilket hindrar hållbart resande och hälsa.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Eskilstuna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påbörja utbyggnad av separata cykelvägar längs E20 och Mälarstråket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12 mnkr i investeringsbudgeten 2027–2029.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sträckor med hög pendlingspotential.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cykeltrafikökningen årligen.</w:t>
      </w:r>
    </w:p>
    <w:p>
      <w:pPr>
        <w:spacing w:before="360"/>
      </w:pPr>
    </w:p>
    <w:p>
      <w:r>
        <w:t xml:space="preserve">Eskilstuna,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Eskilstuna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2026-07-14T02:48:06.590Z</dcterms:created>
  <dcterms:modified xsi:type="dcterms:W3CDTF">2026-07-14T02:48:06.590Z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